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1094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Зарины </w:t>
      </w:r>
      <w:r>
        <w:rPr>
          <w:rFonts w:ascii="Times New Roman" w:eastAsia="Times New Roman" w:hAnsi="Times New Roman" w:cs="Times New Roman"/>
          <w:sz w:val="28"/>
          <w:szCs w:val="28"/>
        </w:rPr>
        <w:t>Рйфудиновны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Магомедова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письменных пояснениях указала, что о время составления административного материала не находилась в состоянии опьянения;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З.Р. 20.04.2024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30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035463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отказалась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 привлекаемой отклоняется, как не исключающий вывода о совершении вменяемого правонарушения, поскольку Магомедовой З.Р. вменяется отказ от прохождения медицинского освидетельствования на состояние опьянения, а не управление транспортным средством в состоянии опьянения.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Магомедову Зарину </w:t>
      </w:r>
      <w:r>
        <w:rPr>
          <w:rFonts w:ascii="Times New Roman" w:eastAsia="Times New Roman" w:hAnsi="Times New Roman" w:cs="Times New Roman"/>
          <w:sz w:val="28"/>
          <w:szCs w:val="28"/>
        </w:rPr>
        <w:t>Рйфудиновну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З.Р.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1094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10880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